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67710" w14:textId="77777777" w:rsidR="00D8086C" w:rsidRPr="00ED7F8D" w:rsidRDefault="00D8086C" w:rsidP="00D8086C">
      <w:pPr>
        <w:snapToGrid w:val="0"/>
        <w:contextualSpacing/>
        <w:jc w:val="both"/>
        <w:rPr>
          <w:rFonts w:ascii="Times New Roman" w:hAnsi="Times New Roman" w:cs="Times New Roman"/>
          <w:lang w:val="en-US"/>
        </w:rPr>
      </w:pPr>
      <w:r w:rsidRPr="00ED7F8D">
        <w:rPr>
          <w:rFonts w:ascii="Times New Roman" w:hAnsi="Times New Roman" w:cs="Times New Roman"/>
          <w:b/>
          <w:bCs/>
          <w:lang w:val="en-US"/>
        </w:rPr>
        <w:t>Table 1.</w:t>
      </w:r>
      <w:r w:rsidRPr="00ED7F8D">
        <w:rPr>
          <w:rFonts w:ascii="Times New Roman" w:hAnsi="Times New Roman" w:cs="Times New Roman"/>
          <w:lang w:val="en-US"/>
        </w:rPr>
        <w:t xml:space="preserve"> Data Description</w:t>
      </w:r>
    </w:p>
    <w:p w14:paraId="5132605A" w14:textId="77777777" w:rsidR="00D8086C" w:rsidRPr="00ED7F8D" w:rsidRDefault="00D8086C" w:rsidP="00D8086C">
      <w:pPr>
        <w:snapToGrid w:val="0"/>
        <w:contextualSpacing/>
        <w:jc w:val="both"/>
        <w:rPr>
          <w:rFonts w:ascii="Times New Roman" w:hAnsi="Times New Roman" w:cs="Times New Roman"/>
          <w:lang w:val="en-US"/>
        </w:rPr>
      </w:pPr>
    </w:p>
    <w:tbl>
      <w:tblPr>
        <w:tblStyle w:val="TabloKlavuzu"/>
        <w:tblW w:w="5006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31"/>
        <w:gridCol w:w="2345"/>
        <w:gridCol w:w="2387"/>
      </w:tblGrid>
      <w:tr w:rsidR="00D8086C" w:rsidRPr="00ED7F8D" w14:paraId="1B794953" w14:textId="77777777" w:rsidTr="00161C40">
        <w:trPr>
          <w:trHeight w:val="416"/>
        </w:trPr>
        <w:tc>
          <w:tcPr>
            <w:tcW w:w="13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737BC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D7F8D">
              <w:rPr>
                <w:rFonts w:ascii="Times New Roman" w:hAnsi="Times New Roman" w:cs="Times New Roman"/>
                <w:b/>
                <w:bCs/>
                <w:lang w:val="en-US"/>
              </w:rPr>
              <w:t>Vaccine Stock</w:t>
            </w:r>
          </w:p>
        </w:tc>
        <w:tc>
          <w:tcPr>
            <w:tcW w:w="10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1F55F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D7F8D">
              <w:rPr>
                <w:rFonts w:ascii="Times New Roman" w:hAnsi="Times New Roman" w:cs="Times New Roman"/>
                <w:b/>
                <w:bCs/>
                <w:lang w:val="en-US"/>
              </w:rPr>
              <w:t>Stock Index</w:t>
            </w:r>
          </w:p>
        </w:tc>
        <w:tc>
          <w:tcPr>
            <w:tcW w:w="12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21B1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D7F8D">
              <w:rPr>
                <w:rFonts w:ascii="Times New Roman" w:hAnsi="Times New Roman" w:cs="Times New Roman"/>
                <w:b/>
                <w:bCs/>
                <w:lang w:val="en-US"/>
              </w:rPr>
              <w:t>Risk Index</w:t>
            </w:r>
          </w:p>
        </w:tc>
        <w:tc>
          <w:tcPr>
            <w:tcW w:w="13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C5798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D7F8D">
              <w:rPr>
                <w:rFonts w:ascii="Times New Roman" w:hAnsi="Times New Roman" w:cs="Times New Roman"/>
                <w:b/>
                <w:bCs/>
                <w:lang w:val="en-US"/>
              </w:rPr>
              <w:t>Risk-Free Index</w:t>
            </w:r>
          </w:p>
        </w:tc>
      </w:tr>
      <w:tr w:rsidR="00D8086C" w:rsidRPr="00ED7F8D" w14:paraId="0499D556" w14:textId="77777777" w:rsidTr="00161C40">
        <w:trPr>
          <w:trHeight w:val="422"/>
        </w:trPr>
        <w:tc>
          <w:tcPr>
            <w:tcW w:w="1387" w:type="pct"/>
            <w:tcBorders>
              <w:top w:val="single" w:sz="4" w:space="0" w:color="auto"/>
            </w:tcBorders>
            <w:vAlign w:val="center"/>
          </w:tcPr>
          <w:p w14:paraId="16FEA63C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BioNTech</w:t>
            </w:r>
          </w:p>
        </w:tc>
        <w:tc>
          <w:tcPr>
            <w:tcW w:w="1008" w:type="pct"/>
            <w:tcBorders>
              <w:top w:val="single" w:sz="4" w:space="0" w:color="auto"/>
            </w:tcBorders>
            <w:vAlign w:val="center"/>
          </w:tcPr>
          <w:p w14:paraId="423BFE4C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BNTX</w:t>
            </w:r>
          </w:p>
        </w:tc>
        <w:tc>
          <w:tcPr>
            <w:tcW w:w="1291" w:type="pct"/>
            <w:tcBorders>
              <w:top w:val="single" w:sz="4" w:space="0" w:color="auto"/>
            </w:tcBorders>
            <w:vAlign w:val="center"/>
          </w:tcPr>
          <w:p w14:paraId="129793C9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BNTX IV Index</w:t>
            </w:r>
          </w:p>
        </w:tc>
        <w:tc>
          <w:tcPr>
            <w:tcW w:w="1314" w:type="pct"/>
            <w:tcBorders>
              <w:top w:val="single" w:sz="4" w:space="0" w:color="auto"/>
            </w:tcBorders>
            <w:vAlign w:val="center"/>
          </w:tcPr>
          <w:p w14:paraId="5C0D4841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3-Month Bond Yield</w:t>
            </w:r>
          </w:p>
        </w:tc>
      </w:tr>
      <w:tr w:rsidR="00D8086C" w:rsidRPr="00ED7F8D" w14:paraId="31C7B414" w14:textId="77777777" w:rsidTr="00161C40">
        <w:trPr>
          <w:trHeight w:val="414"/>
        </w:trPr>
        <w:tc>
          <w:tcPr>
            <w:tcW w:w="1387" w:type="pct"/>
            <w:vAlign w:val="center"/>
          </w:tcPr>
          <w:p w14:paraId="1C99F10D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Pfizer</w:t>
            </w:r>
          </w:p>
        </w:tc>
        <w:tc>
          <w:tcPr>
            <w:tcW w:w="1008" w:type="pct"/>
            <w:vAlign w:val="center"/>
          </w:tcPr>
          <w:p w14:paraId="58C14B06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PFE</w:t>
            </w:r>
          </w:p>
        </w:tc>
        <w:tc>
          <w:tcPr>
            <w:tcW w:w="1291" w:type="pct"/>
            <w:vAlign w:val="center"/>
          </w:tcPr>
          <w:p w14:paraId="0A681414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PFE IV Index</w:t>
            </w:r>
          </w:p>
        </w:tc>
        <w:tc>
          <w:tcPr>
            <w:tcW w:w="1314" w:type="pct"/>
            <w:vAlign w:val="center"/>
          </w:tcPr>
          <w:p w14:paraId="55D6F026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3-Month Bond Yield</w:t>
            </w:r>
          </w:p>
        </w:tc>
      </w:tr>
      <w:tr w:rsidR="00D8086C" w:rsidRPr="00ED7F8D" w14:paraId="7FDF735B" w14:textId="77777777" w:rsidTr="00161C40">
        <w:trPr>
          <w:trHeight w:val="406"/>
        </w:trPr>
        <w:tc>
          <w:tcPr>
            <w:tcW w:w="1387" w:type="pct"/>
            <w:vAlign w:val="center"/>
          </w:tcPr>
          <w:p w14:paraId="555427AD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Johnson&amp;Johnson</w:t>
            </w:r>
          </w:p>
        </w:tc>
        <w:tc>
          <w:tcPr>
            <w:tcW w:w="1008" w:type="pct"/>
            <w:vAlign w:val="center"/>
          </w:tcPr>
          <w:p w14:paraId="1882EB78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JNJ</w:t>
            </w:r>
          </w:p>
        </w:tc>
        <w:tc>
          <w:tcPr>
            <w:tcW w:w="1291" w:type="pct"/>
            <w:vAlign w:val="center"/>
          </w:tcPr>
          <w:p w14:paraId="71902957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JNJ IV Index</w:t>
            </w:r>
          </w:p>
        </w:tc>
        <w:tc>
          <w:tcPr>
            <w:tcW w:w="1314" w:type="pct"/>
            <w:vAlign w:val="center"/>
          </w:tcPr>
          <w:p w14:paraId="428EEB23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3-Month Bond Yield</w:t>
            </w:r>
          </w:p>
        </w:tc>
      </w:tr>
      <w:tr w:rsidR="00D8086C" w:rsidRPr="00ED7F8D" w14:paraId="5BC7E91C" w14:textId="77777777" w:rsidTr="00161C40">
        <w:trPr>
          <w:trHeight w:val="425"/>
        </w:trPr>
        <w:tc>
          <w:tcPr>
            <w:tcW w:w="1387" w:type="pct"/>
            <w:vAlign w:val="center"/>
          </w:tcPr>
          <w:p w14:paraId="3A595B80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Moderna</w:t>
            </w:r>
          </w:p>
        </w:tc>
        <w:tc>
          <w:tcPr>
            <w:tcW w:w="1008" w:type="pct"/>
            <w:vAlign w:val="center"/>
          </w:tcPr>
          <w:p w14:paraId="111817A4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MRNA</w:t>
            </w:r>
          </w:p>
        </w:tc>
        <w:tc>
          <w:tcPr>
            <w:tcW w:w="1291" w:type="pct"/>
            <w:vAlign w:val="center"/>
          </w:tcPr>
          <w:p w14:paraId="644FB5C2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MRNA IV Index</w:t>
            </w:r>
          </w:p>
        </w:tc>
        <w:tc>
          <w:tcPr>
            <w:tcW w:w="1314" w:type="pct"/>
            <w:vAlign w:val="center"/>
          </w:tcPr>
          <w:p w14:paraId="60FCC2BE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3-Month Bond Yield</w:t>
            </w:r>
          </w:p>
        </w:tc>
      </w:tr>
      <w:tr w:rsidR="00D8086C" w:rsidRPr="00ED7F8D" w14:paraId="09985134" w14:textId="77777777" w:rsidTr="00161C40">
        <w:trPr>
          <w:trHeight w:val="404"/>
        </w:trPr>
        <w:tc>
          <w:tcPr>
            <w:tcW w:w="1387" w:type="pct"/>
            <w:tcBorders>
              <w:bottom w:val="single" w:sz="4" w:space="0" w:color="auto"/>
            </w:tcBorders>
            <w:vAlign w:val="center"/>
          </w:tcPr>
          <w:p w14:paraId="1F46BB34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AstraZeneca</w:t>
            </w:r>
          </w:p>
        </w:tc>
        <w:tc>
          <w:tcPr>
            <w:tcW w:w="1008" w:type="pct"/>
            <w:tcBorders>
              <w:bottom w:val="single" w:sz="4" w:space="0" w:color="auto"/>
            </w:tcBorders>
            <w:vAlign w:val="center"/>
          </w:tcPr>
          <w:p w14:paraId="7788802C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AZN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vAlign w:val="center"/>
          </w:tcPr>
          <w:p w14:paraId="4AAA005C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AZN IV Index</w:t>
            </w:r>
          </w:p>
        </w:tc>
        <w:tc>
          <w:tcPr>
            <w:tcW w:w="1314" w:type="pct"/>
            <w:tcBorders>
              <w:bottom w:val="single" w:sz="4" w:space="0" w:color="auto"/>
            </w:tcBorders>
            <w:vAlign w:val="center"/>
          </w:tcPr>
          <w:p w14:paraId="76DCA44F" w14:textId="77777777" w:rsidR="00D8086C" w:rsidRPr="00ED7F8D" w:rsidRDefault="00D8086C" w:rsidP="00161C4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ED7F8D">
              <w:rPr>
                <w:rFonts w:ascii="Times New Roman" w:hAnsi="Times New Roman" w:cs="Times New Roman"/>
                <w:lang w:val="en-US"/>
              </w:rPr>
              <w:t>3-Month Bond Yield</w:t>
            </w:r>
          </w:p>
        </w:tc>
      </w:tr>
    </w:tbl>
    <w:p w14:paraId="336FFDF3" w14:textId="77777777" w:rsidR="00D8086C" w:rsidRPr="00ED7F8D" w:rsidRDefault="00D8086C" w:rsidP="00D8086C">
      <w:pPr>
        <w:snapToGrid w:val="0"/>
        <w:contextualSpacing/>
        <w:jc w:val="both"/>
        <w:rPr>
          <w:rFonts w:ascii="Times New Roman" w:hAnsi="Times New Roman" w:cs="Times New Roman"/>
          <w:lang w:val="en-US"/>
        </w:rPr>
      </w:pPr>
    </w:p>
    <w:p w14:paraId="125418EC" w14:textId="77777777" w:rsidR="00D56F80" w:rsidRDefault="00D56F80"/>
    <w:sectPr w:rsidR="00D5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86C"/>
    <w:rsid w:val="00425EF3"/>
    <w:rsid w:val="00435BBB"/>
    <w:rsid w:val="00D56F80"/>
    <w:rsid w:val="00D8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F83D6"/>
  <w15:chartTrackingRefBased/>
  <w15:docId w15:val="{48F73999-C6CC-4C48-A1A8-6167DC56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6C"/>
    <w:pPr>
      <w:spacing w:after="0"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D808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808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8086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8086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8086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8086C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8086C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8086C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8086C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808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808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808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8086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8086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8086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8086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8086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8086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808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80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8086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808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8086C"/>
    <w:pPr>
      <w:spacing w:before="160" w:after="160" w:line="278" w:lineRule="auto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8086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8086C"/>
    <w:pPr>
      <w:spacing w:after="160" w:line="278" w:lineRule="auto"/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8086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808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8086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8086C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D80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Özdemir</dc:creator>
  <cp:keywords/>
  <dc:description/>
  <cp:lastModifiedBy>Onur Özdemir</cp:lastModifiedBy>
  <cp:revision>1</cp:revision>
  <dcterms:created xsi:type="dcterms:W3CDTF">2026-03-24T07:48:00Z</dcterms:created>
  <dcterms:modified xsi:type="dcterms:W3CDTF">2026-03-24T07:48:00Z</dcterms:modified>
</cp:coreProperties>
</file>